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F1" w:rsidRPr="00070AF1" w:rsidRDefault="00070AF1" w:rsidP="00070AF1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ru-RU"/>
        </w:rPr>
      </w:pPr>
      <w:r w:rsidRPr="00070AF1">
        <w:rPr>
          <w:rFonts w:ascii="Courier New" w:eastAsia="Times New Roman" w:hAnsi="Courier New" w:cs="Courier New"/>
          <w:kern w:val="36"/>
          <w:lang w:eastAsia="ru-RU"/>
        </w:rPr>
        <w:t>ПРАВИТЕЛЬСТВО РЕСПУБЛИКИ СЕВЕРНАЯ ОСЕТИЯ-АЛАНИЯ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ru-RU"/>
        </w:rPr>
      </w:pPr>
      <w:r w:rsidRPr="00070AF1">
        <w:rPr>
          <w:rFonts w:ascii="Courier New" w:eastAsia="Times New Roman" w:hAnsi="Courier New" w:cs="Courier New"/>
          <w:kern w:val="36"/>
          <w:lang w:eastAsia="ru-RU"/>
        </w:rPr>
        <w:t>ПОСТАНОВЛЕНИЕ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от 27 марта 2017 г. № 136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г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.В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>ладикавказ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val="en-US" w:eastAsia="ru-RU"/>
        </w:rPr>
        <w:t> 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val="en-US" w:eastAsia="ru-RU"/>
        </w:rPr>
        <w:t> 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 мерах по реализации подпрограммы 1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«Доступная среда в Республике Северная Осетия-Алания»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Государственной программы Республики Северная Осетия-Алания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«Социальное развитие Республики Северная Осетия-Алания» 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на 2016-2018 годы в 2017 году 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color w:val="333333"/>
          <w:lang w:val="en-US" w:eastAsia="ru-RU"/>
        </w:rPr>
        <w:t> </w:t>
      </w:r>
    </w:p>
    <w:p w:rsidR="00070AF1" w:rsidRPr="00070AF1" w:rsidRDefault="00070AF1" w:rsidP="00070AF1">
      <w:pPr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color w:val="333333"/>
          <w:lang w:val="en-US" w:eastAsia="ru-RU"/>
        </w:rPr>
        <w:t> 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proofErr w:type="gramStart"/>
      <w:r w:rsidRPr="00070AF1">
        <w:rPr>
          <w:rFonts w:ascii="Courier New" w:eastAsiaTheme="minorEastAsia" w:hAnsi="Courier New" w:cs="Courier New"/>
          <w:color w:val="333333"/>
          <w:lang w:eastAsia="ru-RU"/>
        </w:rPr>
        <w:t>В целях реализации в 2017</w:t>
      </w:r>
      <w:r w:rsidRPr="00070AF1">
        <w:rPr>
          <w:rFonts w:ascii="Courier New" w:eastAsiaTheme="minorEastAsia" w:hAnsi="Courier New" w:cs="Courier New"/>
          <w:color w:val="333333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color w:val="333333"/>
          <w:lang w:eastAsia="ru-RU"/>
        </w:rPr>
        <w:t xml:space="preserve">году </w:t>
      </w:r>
      <w:r w:rsidRPr="00070AF1">
        <w:rPr>
          <w:rFonts w:ascii="Courier New" w:eastAsiaTheme="minorEastAsia" w:hAnsi="Courier New" w:cs="Courier New"/>
          <w:lang w:eastAsia="ru-RU"/>
        </w:rPr>
        <w:t>подпрограммы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1 «Доступная среда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Республике Северная Осетия-Алания» Государственной программы Республики Северная Осетия-Алания «Социальное развитие Республики Северная Осетия-Алания» на 2016-2018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годы, утвержденной постановлением Правительства Республики Северная Осетия-Алания от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10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мая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2016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года №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156, (далее – Подпрограмма) во исполнение Соглашения между Правительством Республики Северная Осетия-Алания и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Министерством труда и социальной защиты Российской Федерации о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предоставлении субсидии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из федерального бюджета бюджету Республики Северная Осетия-Алания на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софинансирование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№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149-08-103 от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9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февраля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2017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года (далее – Соглашение) Правительство Республики Северная Осетия-Алания постановляет: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color w:val="333333"/>
          <w:lang w:eastAsia="ru-RU"/>
        </w:rPr>
        <w:t>1.</w:t>
      </w:r>
      <w:r w:rsidRPr="00070AF1">
        <w:rPr>
          <w:rFonts w:ascii="Times New Roman" w:eastAsiaTheme="minorEastAsia" w:hAnsi="Times New Roman" w:cs="Times New Roman"/>
          <w:color w:val="333333"/>
          <w:sz w:val="14"/>
          <w:szCs w:val="14"/>
          <w:lang w:eastAsia="ru-RU"/>
        </w:rPr>
        <w:t xml:space="preserve">     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 xml:space="preserve">Определить Министерство образования и науки Республики Северная Осетия-Алания (далее – Министерство) уполномоченным органом, ответственным за реализацию мероприятий в сфере обеспечения доступности приоритетных 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государственной программы Российской Федерации «Доступная среда» на 2011-2020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годы в части создания в дошкольных образовательных, общеобразовательных организациях, организациях дополнительного образования детей (в том числе в организациях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>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образования.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color w:val="333333"/>
          <w:lang w:eastAsia="ru-RU"/>
        </w:rPr>
        <w:t>2.</w:t>
      </w:r>
      <w:r w:rsidRPr="00070AF1">
        <w:rPr>
          <w:rFonts w:ascii="Times New Roman" w:eastAsiaTheme="minorEastAsia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070AF1">
        <w:rPr>
          <w:rFonts w:ascii="Courier New" w:eastAsiaTheme="minorEastAsia" w:hAnsi="Courier New" w:cs="Courier New"/>
          <w:lang w:eastAsia="ru-RU"/>
        </w:rPr>
        <w:t>Утвердить прилагаемые: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proofErr w:type="gramStart"/>
      <w:r w:rsidRPr="00070AF1">
        <w:rPr>
          <w:rFonts w:ascii="Courier New" w:eastAsiaTheme="minorEastAsia" w:hAnsi="Courier New" w:cs="Courier New"/>
          <w:lang w:eastAsia="ru-RU"/>
        </w:rPr>
        <w:t xml:space="preserve">Правила предоставления и распределения субсидий из республиканского бюджета Республики Северная Осетия-Алания бюджетам муниципальных образований на реализацию мероприятий в сфере обеспечения доступности приоритетных 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государственной программы Российской Федерации «Доступная среда» на 2011-2020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годы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 xml:space="preserve">части создания в дошкольных образовательных, общеобразовательных организациях, организациях дополнительного образования детей </w:t>
      </w:r>
      <w:r w:rsidRPr="00070AF1">
        <w:rPr>
          <w:rFonts w:ascii="Courier New" w:eastAsiaTheme="minorEastAsia" w:hAnsi="Courier New" w:cs="Courier New"/>
          <w:lang w:eastAsia="ru-RU"/>
        </w:rPr>
        <w:lastRenderedPageBreak/>
        <w:t>(в том числе в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организациях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>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образования;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proofErr w:type="gramStart"/>
      <w:r w:rsidRPr="00070AF1">
        <w:rPr>
          <w:rFonts w:ascii="Courier New" w:eastAsiaTheme="minorEastAsia" w:hAnsi="Courier New" w:cs="Courier New"/>
          <w:lang w:eastAsia="ru-RU"/>
        </w:rPr>
        <w:t xml:space="preserve">распределение средств субсидии из республиканского бюджета Республики Северная Осетия-Алания и средств бюджетов муниципальных образований, предназначенных на реализацию мероприятий в сфере обеспечения доступности приоритетных 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государственной программы Российской Федерации «Доступная среда» на 2011-2020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годы в части создания в дошкольных образовательных, общеобразовательных организациях, организациях дополнительного образования детей (в том числе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на 2017 год.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color w:val="333333"/>
          <w:lang w:eastAsia="ru-RU"/>
        </w:rPr>
        <w:t>3.</w:t>
      </w:r>
      <w:r w:rsidRPr="00070AF1">
        <w:rPr>
          <w:rFonts w:ascii="Times New Roman" w:eastAsiaTheme="minorEastAsia" w:hAnsi="Times New Roman" w:cs="Times New Roman"/>
          <w:color w:val="333333"/>
          <w:sz w:val="14"/>
          <w:szCs w:val="14"/>
          <w:lang w:eastAsia="ru-RU"/>
        </w:rPr>
        <w:t xml:space="preserve">     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Контроль за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исполнением настоящего постановления возложить на Заместителя Председателя Правительства Республики Северная Осетия-Алания А.О.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Фадзаева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>.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Председатель Правительства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Республики Северная Осетия-Алания                    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Т.Тускаев</w:t>
      </w:r>
      <w:proofErr w:type="spellEnd"/>
    </w:p>
    <w:p w:rsidR="00070AF1" w:rsidRPr="00070AF1" w:rsidRDefault="00070AF1" w:rsidP="00070AF1">
      <w:pPr>
        <w:spacing w:after="0" w:line="240" w:lineRule="auto"/>
        <w:ind w:firstLine="567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УТВЕРЖДЕНЫ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постановлением Правительства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Республики Северная Осетия-Алания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от 27 марта 2017 г. № 136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ПРАВИЛА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предоставления  и распределения субсидий из республиканского бюджета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Республики Северная Осетия-Алания бюджетам муниципальных образований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на реализацию мероприятий в сфере обеспечения доступности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приоритетных объектов и услуг в приоритетных сферах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государственной программы Российской Федерации «Доступная среда»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на 2011-2020 годы в части создания в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дошкольных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образовательных,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общеобразовательных организациях, организациях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дополнительного</w:t>
      </w:r>
      <w:proofErr w:type="gramEnd"/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proofErr w:type="gramStart"/>
      <w:r w:rsidRPr="00070AF1">
        <w:rPr>
          <w:rFonts w:ascii="Courier New" w:eastAsiaTheme="minorEastAsia" w:hAnsi="Courier New" w:cs="Courier New"/>
          <w:lang w:eastAsia="ru-RU"/>
        </w:rPr>
        <w:t>образования детей (в том числе в организациях, осуществляющих</w:t>
      </w:r>
      <w:proofErr w:type="gramEnd"/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образовательную деятельность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по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адаптированным основным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общеобразовательным программам) условий для получения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детьми-инвалидами качественного образования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1. Настоящие Правила устанавливают порядок и условия предоставления субсидий из республиканского бюджета Республики Северная Осетия-Алания бюджетам муниципальных образований в целях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софинансирования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расходных обязательств муниципальных образований по реализации мероприятий в сфере обеспечения доступности приоритетных </w:t>
      </w:r>
      <w:r w:rsidRPr="00070AF1">
        <w:rPr>
          <w:rFonts w:ascii="Courier New" w:eastAsiaTheme="minorEastAsia" w:hAnsi="Courier New" w:cs="Courier New"/>
          <w:lang w:eastAsia="ru-RU"/>
        </w:rPr>
        <w:lastRenderedPageBreak/>
        <w:t xml:space="preserve">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(далее - субсидии) и их распределения.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2.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 xml:space="preserve">Субсидии предоставляются на реализацию мероприятий, включенных в программы муниципальных образований по обеспечению доступности приоритетных 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(далее соответственно – муниципальные программы, мероприятия муниципальной программы), в том числе 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программам) условий для получения детьми-инвалидами качественного образования.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3.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Субсидии предоставляются бюджетам муниципальных образований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пределах бюджетных ассигнований, предусмотренных Законом Республики Северная Осетия-Алания «О республиканском бюджете Республики Северная Осетия-Алания на 2017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 и плановый период 2018 и 2019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годов», и лимитов бюджетных обязательств на основании соглашений о предоставлении субсидий, заключенных между Министерством образования и науки Республики Северная Осетия-Алания (далее – Министерство) и муниципальными образованиями Республики Северная Осетия-Алания (далее – соглашение), по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типовой форме, утверждаемой приказом Министерства финансов Республики Северная Осетия-Алания.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4. Условиями предоставления субсидии являются: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proofErr w:type="gramStart"/>
      <w:r w:rsidRPr="00070AF1">
        <w:rPr>
          <w:rFonts w:ascii="Courier New" w:eastAsiaTheme="minorEastAsia" w:hAnsi="Courier New" w:cs="Courier New"/>
          <w:lang w:eastAsia="ru-RU"/>
        </w:rPr>
        <w:t xml:space="preserve">а) наличие муниципальной программы, предусматривающей мероприятия по обеспечению доступности приоритетных объектов и услуг в приоритетных сферах жизнедеятельности инвалидов 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населения, в том числе 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образования;</w:t>
      </w:r>
      <w:proofErr w:type="gramEnd"/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б) наличие программы (плана) муниципального образования, предусматривающего осуществление на территории муниципального образования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образования;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в) наличие в бюджете муниципального образования бюджетных ассигнований на исполнение соответствующего расходного обязательства муниципального образования, на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софинансирование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которого предоставляется субсидия.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5. 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Критерием отбора муниципального образования для предоставления субсидии является наличие утвержденной программы (плана) муниципального образования, предусматривающей осуществление на территории муниципального образования мероприятий по созданию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дошкольных образовательных, общеобразовательных организациях, организациях дополнительного образования детей (в том числе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и выполнение муниципальным образованием основных целевых показателей и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индикаторов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>, позволяющих достичь значений целевых показателей и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индикаторов подпрограммы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1 «Доступная среда в Республике Северная Осетия-Алания» Государственной программы Республики Северная Осетия-Алания «Социальное развитие Республики Северная Осетия-Алания» на 2016-2018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 xml:space="preserve">годы.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6.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Размер субсидии на финансовое обеспечение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 xml:space="preserve">организациях, </w:t>
      </w:r>
      <w:r w:rsidRPr="00070AF1">
        <w:rPr>
          <w:rFonts w:ascii="Courier New" w:eastAsiaTheme="minorEastAsia" w:hAnsi="Courier New" w:cs="Courier New"/>
          <w:lang w:eastAsia="ru-RU"/>
        </w:rPr>
        <w:lastRenderedPageBreak/>
        <w:t>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образования, предоставляемой бюджету муниципального образования, определяется в соответствии с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количеством образовательных организаций муниципального образования, включенных в муниципальную программу, в отношении которых планируется осуществление мероприятий по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обеспечению доступности в текущем году, объемом работ по созданию архитектурной доступности и потребностью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оснащении специальным  оборудованием для создания условий для получения детьми-инвалидами качественного образования.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7.Объем бюджетных ассигнований на финансовое обеспечение расходного обязательства муниципального образования,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софинансируемого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за счет субсидии, утверждается решением собрания представителей соответствующего муниципального образования,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070AF1" w:rsidRPr="00070AF1" w:rsidRDefault="00070AF1" w:rsidP="00070AF1">
      <w:pPr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8.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Министерство осуществляет перечисление средств субсидии на единые счета администраций местного самоуправления муниципальных районов и городского округа г. Владикавказ, открытые в территориальных органах Федерального казначейства, согласно заключенным соглашениям между Министерством и администрациями местного самоуправления муниципальных районов и городского округа г. Владикавказ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организациях, осуществляющих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9. Оценка эффективности расходов бюджета муниципального образования, источником финансового обеспечения которых является субсидия, ежегодно осуществляется Министерством исходя из степени достижения муниципальным образованием установленных Соглашением значений следующих показателей результативности использования субсидии: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доля дошкольных образовательных организаций, в которых создана универсальная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безбарьерная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среда для инклюзивного образования детей-инвалидов, в общем количестве дошкольных образовательных организаций в муниципальном образовании;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доля общеобразовательных организаций, в которых создана универсальная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безбарьерная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среда для инклюзивного образования детей-инвалидов, в общем количестве общеобразовательных организаций в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 xml:space="preserve">муниципальном образовании;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доля детей-инвалидов в возрасте от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5 до 18</w:t>
      </w:r>
      <w:r w:rsidRPr="00070AF1">
        <w:rPr>
          <w:rFonts w:ascii="Courier New" w:eastAsiaTheme="minorEastAsia" w:hAnsi="Courier New" w:cs="Courier New"/>
          <w:lang w:val="en-US" w:eastAsia="ru-RU"/>
        </w:rPr>
        <w:t> </w:t>
      </w:r>
      <w:r w:rsidRPr="00070AF1">
        <w:rPr>
          <w:rFonts w:ascii="Courier New" w:eastAsiaTheme="minorEastAsia" w:hAnsi="Courier New" w:cs="Courier New"/>
          <w:lang w:eastAsia="ru-RU"/>
        </w:rPr>
        <w:t>лет, получающих дополнительное образование, в общей численности детей-инвалидов данного возраста.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10. Отчеты администраций местного самоуправления муниципальных образований о достижении значений показателей результативности использования субсидии, указанных в пункте 9 настоящих Правил, представляются ежегодно, до 10 января, в Министерство.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11. Администрации местного самоуправления муниципальных образований представляют в Министерство ежеквартально, до 5-го числа месяца, следующего за отчетным кварталом, отчет об осуществлении расходов бюджета муниципального образования, источником финансового обеспечения которых является субсидия.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12. В случае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 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709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В случае осуществления расходов бюджета муниципального образования, источником финансового обеспечения которых является субсидия, не по целевому назначению указанные средства подлежат взысканию в доход республиканского бюджета в соответствии с бюджетным законодательством Российской Федерации.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lastRenderedPageBreak/>
        <w:t> 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УТВЕРЖДЕНО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постановлением Правительства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Республики Северная Осетия-Алания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jc w:val="right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от 27 марта 2017 г. № 136</w:t>
      </w:r>
    </w:p>
    <w:p w:rsidR="00070AF1" w:rsidRPr="00070AF1" w:rsidRDefault="00070AF1" w:rsidP="00070AF1">
      <w:pPr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 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Распределение средств субсидии из республиканского бюджета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Республики Северная Осетия-Алания 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и средств бюджетов муниципальных образований, предназначенных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на реализацию мероприятий в сфере обеспечения доступности приоритетных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объектов и услуг в приоритетных сферах жизнедеятельности инвалидов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и других </w:t>
      </w:r>
      <w:proofErr w:type="spellStart"/>
      <w:r w:rsidRPr="00070AF1">
        <w:rPr>
          <w:rFonts w:ascii="Courier New" w:eastAsiaTheme="minorEastAsia" w:hAnsi="Courier New" w:cs="Courier New"/>
          <w:lang w:eastAsia="ru-RU"/>
        </w:rPr>
        <w:t>маломобильных</w:t>
      </w:r>
      <w:proofErr w:type="spellEnd"/>
      <w:r w:rsidRPr="00070AF1">
        <w:rPr>
          <w:rFonts w:ascii="Courier New" w:eastAsiaTheme="minorEastAsia" w:hAnsi="Courier New" w:cs="Courier New"/>
          <w:lang w:eastAsia="ru-RU"/>
        </w:rPr>
        <w:t xml:space="preserve"> групп населения государственной программы Российской Федерации «Доступная среда» на 2011-2020 годы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в части создания в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дошкольных</w:t>
      </w:r>
      <w:proofErr w:type="gramEnd"/>
      <w:r w:rsidRPr="00070AF1">
        <w:rPr>
          <w:rFonts w:ascii="Courier New" w:eastAsiaTheme="minorEastAsia" w:hAnsi="Courier New" w:cs="Courier New"/>
          <w:lang w:eastAsia="ru-RU"/>
        </w:rPr>
        <w:t xml:space="preserve"> образовательных,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 xml:space="preserve">общеобразовательных организациях, организациях </w:t>
      </w:r>
      <w:proofErr w:type="gramStart"/>
      <w:r w:rsidRPr="00070AF1">
        <w:rPr>
          <w:rFonts w:ascii="Courier New" w:eastAsiaTheme="minorEastAsia" w:hAnsi="Courier New" w:cs="Courier New"/>
          <w:lang w:eastAsia="ru-RU"/>
        </w:rPr>
        <w:t>дополнительного</w:t>
      </w:r>
      <w:proofErr w:type="gramEnd"/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proofErr w:type="gramStart"/>
      <w:r w:rsidRPr="00070AF1">
        <w:rPr>
          <w:rFonts w:ascii="Courier New" w:eastAsiaTheme="minorEastAsia" w:hAnsi="Courier New" w:cs="Courier New"/>
          <w:lang w:eastAsia="ru-RU"/>
        </w:rPr>
        <w:t>образования детей (в том числе в организациях, осуществляющих</w:t>
      </w:r>
      <w:proofErr w:type="gramEnd"/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образовательную деятельность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по адаптированным основным общеобразовательным программам) условий</w:t>
      </w:r>
    </w:p>
    <w:p w:rsidR="00070AF1" w:rsidRPr="00070AF1" w:rsidRDefault="00070AF1" w:rsidP="00070AF1">
      <w:pPr>
        <w:spacing w:after="0" w:line="240" w:lineRule="auto"/>
        <w:ind w:firstLine="142"/>
        <w:jc w:val="center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Courier New" w:eastAsiaTheme="minorEastAsia" w:hAnsi="Courier New" w:cs="Courier New"/>
          <w:lang w:eastAsia="ru-RU"/>
        </w:rPr>
        <w:t>для получения детьми-инвалидами качественного образования на 2017 год</w:t>
      </w:r>
    </w:p>
    <w:p w:rsidR="00070AF1" w:rsidRPr="00070AF1" w:rsidRDefault="00070AF1" w:rsidP="00070AF1">
      <w:pPr>
        <w:spacing w:after="0" w:line="240" w:lineRule="auto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15182" w:type="dxa"/>
        <w:tblCellMar>
          <w:left w:w="0" w:type="dxa"/>
          <w:right w:w="0" w:type="dxa"/>
        </w:tblCellMar>
        <w:tblLook w:val="04A0"/>
      </w:tblPr>
      <w:tblGrid>
        <w:gridCol w:w="1009"/>
        <w:gridCol w:w="3944"/>
        <w:gridCol w:w="3524"/>
        <w:gridCol w:w="2250"/>
        <w:gridCol w:w="2273"/>
        <w:gridCol w:w="2182"/>
      </w:tblGrid>
      <w:tr w:rsidR="00070AF1" w:rsidRPr="00070AF1" w:rsidTr="00070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№</w:t>
            </w:r>
          </w:p>
        </w:tc>
        <w:tc>
          <w:tcPr>
            <w:tcW w:w="3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Наименование организации, муниципального образования</w:t>
            </w:r>
          </w:p>
        </w:tc>
        <w:tc>
          <w:tcPr>
            <w:tcW w:w="3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Наименование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мероприятий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Объём субсидии, предоставляемой из федерального бюджета (рублей)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Объём бюджетных ассигнований, предусмотренный в республиканском бюджете Республики Северная Осетия-Алания (рублей)</w:t>
            </w: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Объём бюджетных  ассигнований бюджета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муниципального образования (рублей)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6</w:t>
            </w:r>
          </w:p>
        </w:tc>
      </w:tr>
      <w:tr w:rsidR="00070AF1" w:rsidRPr="00070AF1" w:rsidTr="00070AF1">
        <w:trPr>
          <w:trHeight w:val="239"/>
        </w:trPr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val="en-US" w:eastAsia="ru-RU"/>
              </w:rPr>
              <w:t>I.</w:t>
            </w:r>
            <w:r w:rsidRPr="00070AF1">
              <w:rPr>
                <w:rFonts w:ascii="Courier New" w:eastAsiaTheme="minorEastAsia" w:hAnsi="Courier New" w:cs="Courier New"/>
                <w:lang w:eastAsia="ru-RU"/>
              </w:rPr>
              <w:t>Дошкольные образовательные организации</w:t>
            </w:r>
          </w:p>
        </w:tc>
      </w:tr>
      <w:tr w:rsidR="00070AF1" w:rsidRPr="00070AF1" w:rsidTr="00070AF1">
        <w:trPr>
          <w:trHeight w:val="239"/>
        </w:trPr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Государственные дошкольные образовательные организации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Государственное бюджетное дошкольное образовательное учреждение компенсирующего вида «Детский сад «Солнышко»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 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2 515 000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535 000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lastRenderedPageBreak/>
              <w:t>Муниципальные дошкольные образовательные организации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Правобережный район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казённое дошкольное образовательное учреждение детский сад № 10 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.Б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еслан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Создание архитектурной доступности, приобретение специального учебного, реабилитационного, компьютерного оборудования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256 000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54 000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210 000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казённое дошкольное образовательное учреждение детский сад № 14 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.Б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еслан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618 000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132 000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750 000</w:t>
            </w:r>
          </w:p>
        </w:tc>
      </w:tr>
      <w:tr w:rsidR="00070AF1" w:rsidRPr="00070AF1" w:rsidTr="00070AF1">
        <w:trPr>
          <w:trHeight w:val="58"/>
        </w:trPr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58" w:lineRule="atLeast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Кировский район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Муниципальное казённое дошкольное образовательное учреждение детский сад № 2 «</w:t>
            </w:r>
            <w:proofErr w:type="spell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Дюймовочка</w:t>
            </w:r>
            <w:proofErr w:type="spellEnd"/>
            <w:r w:rsidRPr="00070AF1">
              <w:rPr>
                <w:rFonts w:ascii="Courier New" w:eastAsiaTheme="minorEastAsia" w:hAnsi="Courier New" w:cs="Courier New"/>
                <w:lang w:eastAsia="ru-RU"/>
              </w:rPr>
              <w:t>» с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.Э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льхотово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304 000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64 600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300 000</w:t>
            </w:r>
          </w:p>
        </w:tc>
      </w:tr>
      <w:tr w:rsidR="00070AF1" w:rsidRPr="00070AF1" w:rsidTr="00070AF1">
        <w:trPr>
          <w:trHeight w:val="41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Муниципальное казённое дошкольное образовательное учреждение детский сад № 2 «Радуга» ст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.З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мейская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304 000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64 600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300 000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г. Владикавказ</w:t>
            </w:r>
          </w:p>
        </w:tc>
      </w:tr>
      <w:tr w:rsidR="00070AF1" w:rsidRPr="00070AF1" w:rsidTr="00070AF1">
        <w:trPr>
          <w:trHeight w:val="12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бюджетное дошкольное образовательное учреждение Детский сад №79 комбинированного вида 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.В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>ладикавказ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1 649 400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350 600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1 500 000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бюджетное дошкольное образовательное учреждение «Центр развития ребёнка» детский сад №85 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.В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>ладикавказ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1 649 400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350 600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1 500 000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lastRenderedPageBreak/>
              <w:t>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бюджетное дошкольное образовательное учреждение детский сад № 97 комбинированного вида 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.В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>ладикавказ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1 649 400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350 600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1 500 000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proofErr w:type="spell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Алагирский</w:t>
            </w:r>
            <w:proofErr w:type="spell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 район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9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  Муниципальное казённое дошкольное образовательное учреждение детский сад № 7 </w:t>
            </w:r>
            <w:proofErr w:type="spell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общеразвивающего</w:t>
            </w:r>
            <w:proofErr w:type="spell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 вида с приоритетным осуществлением художественно - эстетического развития воспитанников 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.А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лагир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206 175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43 825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150 000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proofErr w:type="spell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Ардонский</w:t>
            </w:r>
            <w:proofErr w:type="spell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 район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10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бюджетное дошкольное образовательное учреждение  детский сад № 11 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.А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рдон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329 880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70 120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300 000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val="en-US" w:eastAsia="ru-RU"/>
              </w:rPr>
              <w:t>II.</w:t>
            </w:r>
            <w:r w:rsidRPr="00070AF1">
              <w:rPr>
                <w:rFonts w:ascii="Courier New" w:eastAsiaTheme="minorEastAsia" w:hAnsi="Courier New" w:cs="Courier New"/>
                <w:lang w:eastAsia="ru-RU"/>
              </w:rPr>
              <w:t>Организации дополнительного  образования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Государственные организации дополнительного  образования</w:t>
            </w:r>
          </w:p>
        </w:tc>
      </w:tr>
      <w:tr w:rsidR="00070AF1" w:rsidRPr="00070AF1" w:rsidTr="00070AF1">
        <w:trPr>
          <w:trHeight w:val="131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 Государственное бюджетное учреждение дополнительного образования «Республиканский   дворец детского творчества»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 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2 639 000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561 000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Муниципальные  организации дополнительного  образования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г. Владикавказ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Муниципальное автономное учреждение дополнительного образования центр психолого-педагогической, медицинской и социальной помощи центр диагностики и консультирования «Доверие» </w:t>
            </w:r>
            <w:r w:rsidRPr="00070AF1">
              <w:rPr>
                <w:rFonts w:ascii="Courier New" w:eastAsiaTheme="minorEastAsia" w:hAnsi="Courier New" w:cs="Courier New"/>
                <w:lang w:eastAsia="ru-RU"/>
              </w:rPr>
              <w:lastRenderedPageBreak/>
              <w:t>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.В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>ладикавказ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lastRenderedPageBreak/>
              <w:t xml:space="preserve">Создание архитектурной доступности, 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1 649 400</w:t>
            </w:r>
          </w:p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350 600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1 500 000</w:t>
            </w:r>
          </w:p>
        </w:tc>
      </w:tr>
      <w:tr w:rsidR="00070AF1" w:rsidRPr="00070AF1" w:rsidTr="00070AF1">
        <w:tc>
          <w:tcPr>
            <w:tcW w:w="151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lastRenderedPageBreak/>
              <w:t>Моздокский район</w:t>
            </w:r>
          </w:p>
        </w:tc>
      </w:tr>
      <w:tr w:rsidR="00070AF1" w:rsidRPr="00070AF1" w:rsidTr="00070AF1">
        <w:trPr>
          <w:trHeight w:val="18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Муниципальное бюджетное учреждение дополнительного образования – детско-юношеская спортивная школа № 1 г</w:t>
            </w:r>
            <w:proofErr w:type="gram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.М</w:t>
            </w:r>
            <w:proofErr w:type="gramEnd"/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оздок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Создание архитектурной доступности, приобретение специального учебного, реабилитационного, компьютерного оборудования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343 545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72 455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416 000</w:t>
            </w:r>
          </w:p>
        </w:tc>
      </w:tr>
      <w:tr w:rsidR="00070AF1" w:rsidRPr="00070AF1" w:rsidTr="00070AF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Итого: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14 113 200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 xml:space="preserve">3 000 </w:t>
            </w:r>
            <w:proofErr w:type="spellStart"/>
            <w:r w:rsidRPr="00070AF1">
              <w:rPr>
                <w:rFonts w:ascii="Courier New" w:eastAsiaTheme="minorEastAsia" w:hAnsi="Courier New" w:cs="Courier New"/>
                <w:lang w:eastAsia="ru-RU"/>
              </w:rPr>
              <w:t>000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AF1" w:rsidRPr="00070AF1" w:rsidRDefault="00070AF1" w:rsidP="00070AF1">
            <w:pPr>
              <w:spacing w:after="0" w:line="24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070AF1">
              <w:rPr>
                <w:rFonts w:ascii="Courier New" w:eastAsiaTheme="minorEastAsia" w:hAnsi="Courier New" w:cs="Courier New"/>
                <w:lang w:eastAsia="ru-RU"/>
              </w:rPr>
              <w:t>8 426 000</w:t>
            </w:r>
          </w:p>
        </w:tc>
      </w:tr>
    </w:tbl>
    <w:p w:rsidR="00070AF1" w:rsidRPr="00070AF1" w:rsidRDefault="00070AF1" w:rsidP="00070AF1">
      <w:pPr>
        <w:spacing w:after="0" w:line="240" w:lineRule="auto"/>
        <w:rPr>
          <w:rFonts w:ascii="Calibri" w:eastAsiaTheme="minorEastAsia" w:hAnsi="Calibri" w:cs="Times New Roman"/>
          <w:lang w:eastAsia="ru-RU"/>
        </w:rPr>
      </w:pPr>
      <w:r w:rsidRPr="00070AF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5462A" w:rsidRDefault="0095462A" w:rsidP="00070AF1">
      <w:pPr>
        <w:ind w:firstLine="142"/>
      </w:pPr>
    </w:p>
    <w:sectPr w:rsidR="0095462A" w:rsidSect="00070A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AF1"/>
    <w:rsid w:val="00070AF1"/>
    <w:rsid w:val="0095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2A"/>
  </w:style>
  <w:style w:type="paragraph" w:styleId="1">
    <w:name w:val="heading 1"/>
    <w:basedOn w:val="a"/>
    <w:link w:val="10"/>
    <w:uiPriority w:val="9"/>
    <w:qFormat/>
    <w:rsid w:val="00070AF1"/>
    <w:pPr>
      <w:keepNext/>
      <w:spacing w:before="240" w:after="60"/>
      <w:outlineLvl w:val="0"/>
    </w:pPr>
    <w:rPr>
      <w:rFonts w:ascii="Cambria" w:eastAsiaTheme="minorEastAsia" w:hAnsi="Cambria" w:cs="Times New Roman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AF1"/>
    <w:rPr>
      <w:rFonts w:ascii="Cambria" w:eastAsiaTheme="minorEastAsia" w:hAnsi="Cambria" w:cs="Times New Roman"/>
      <w:b/>
      <w:bCs/>
      <w:kern w:val="36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70AF1"/>
    <w:pPr>
      <w:ind w:left="720"/>
    </w:pPr>
    <w:rPr>
      <w:rFonts w:ascii="Calibri" w:eastAsiaTheme="minorEastAsia" w:hAnsi="Calibri" w:cs="Times New Roman"/>
      <w:lang w:eastAsia="ru-RU"/>
    </w:rPr>
  </w:style>
  <w:style w:type="paragraph" w:customStyle="1" w:styleId="ConsPlusNormal">
    <w:name w:val="ConsPlusNormal"/>
    <w:basedOn w:val="a"/>
    <w:rsid w:val="00070AF1"/>
    <w:pPr>
      <w:autoSpaceDE w:val="0"/>
      <w:autoSpaceDN w:val="0"/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2628</Words>
  <Characters>14982</Characters>
  <Application>Microsoft Office Word</Application>
  <DocSecurity>0</DocSecurity>
  <Lines>124</Lines>
  <Paragraphs>35</Paragraphs>
  <ScaleCrop>false</ScaleCrop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2021-02-08T10:21:00Z</dcterms:created>
  <dcterms:modified xsi:type="dcterms:W3CDTF">2021-02-08T10:22:00Z</dcterms:modified>
</cp:coreProperties>
</file>